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0" w:rsidRPr="00881D80" w:rsidRDefault="006B6D1A" w:rsidP="006B6D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9222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881D80" w:rsidRPr="00881D80">
        <w:rPr>
          <w:rFonts w:ascii="Times New Roman" w:hAnsi="Times New Roman" w:cs="Times New Roman"/>
          <w:sz w:val="28"/>
          <w:szCs w:val="28"/>
          <w:lang w:val="en-US"/>
        </w:rPr>
        <w:t>APPROVED</w:t>
      </w:r>
    </w:p>
    <w:p w:rsidR="0092226A" w:rsidRDefault="006B6D1A" w:rsidP="009222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92226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2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="00C9173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="00C91736">
        <w:rPr>
          <w:rFonts w:ascii="Times New Roman" w:hAnsi="Times New Roman" w:cs="Times New Roman"/>
          <w:sz w:val="28"/>
          <w:szCs w:val="28"/>
          <w:lang w:val="en-US"/>
        </w:rPr>
        <w:t xml:space="preserve"> the R</w:t>
      </w:r>
      <w:r w:rsidR="00881D80" w:rsidRPr="00881D80">
        <w:rPr>
          <w:rFonts w:ascii="Times New Roman" w:hAnsi="Times New Roman" w:cs="Times New Roman"/>
          <w:sz w:val="28"/>
          <w:szCs w:val="28"/>
          <w:lang w:val="en-US"/>
        </w:rPr>
        <w:t>esolution of the Cabinet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D80"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9222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6B6D1A" w:rsidRDefault="0092226A" w:rsidP="009222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881D80" w:rsidRPr="00881D80">
        <w:rPr>
          <w:rFonts w:ascii="Times New Roman" w:hAnsi="Times New Roman" w:cs="Times New Roman"/>
          <w:sz w:val="28"/>
          <w:szCs w:val="28"/>
          <w:lang w:val="en-US"/>
        </w:rPr>
        <w:t>Ministers of Ukraine</w:t>
      </w:r>
      <w:r w:rsidR="006B6D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</w:p>
    <w:p w:rsidR="00881D80" w:rsidRPr="00881D80" w:rsidRDefault="006B6D1A" w:rsidP="006B6D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9222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 w:rsidR="00B07427" w:rsidRPr="00B07427">
        <w:rPr>
          <w:rFonts w:ascii="Times New Roman" w:hAnsi="Times New Roman" w:cs="Times New Roman"/>
          <w:sz w:val="28"/>
          <w:szCs w:val="28"/>
          <w:lang w:val="en-US"/>
        </w:rPr>
        <w:t>dated</w:t>
      </w:r>
      <w:proofErr w:type="gramEnd"/>
      <w:r w:rsidR="00B07427" w:rsidRPr="00B07427">
        <w:rPr>
          <w:rFonts w:ascii="Times New Roman" w:hAnsi="Times New Roman" w:cs="Times New Roman"/>
          <w:sz w:val="28"/>
          <w:szCs w:val="28"/>
          <w:lang w:val="en-US"/>
        </w:rPr>
        <w:t xml:space="preserve"> October 21, 2020 No. 979</w:t>
      </w:r>
    </w:p>
    <w:p w:rsidR="00881D80" w:rsidRPr="00881D80" w:rsidRDefault="00C91736" w:rsidP="00C91736">
      <w:pPr>
        <w:tabs>
          <w:tab w:val="left" w:pos="42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6B6D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AMENDMENTS</w:t>
      </w:r>
    </w:p>
    <w:p w:rsidR="00881D80" w:rsidRPr="00881D80" w:rsidRDefault="00881D80" w:rsidP="00AC26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included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FE38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esolutions of the Cabinet of Ministers of Ukraine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dated </w:t>
      </w:r>
      <w:r w:rsidR="00AC26E2" w:rsidRPr="00AC26E2">
        <w:rPr>
          <w:rFonts w:ascii="Times New Roman" w:hAnsi="Times New Roman" w:cs="Times New Roman"/>
          <w:sz w:val="28"/>
          <w:szCs w:val="28"/>
          <w:lang w:val="en-US"/>
        </w:rPr>
        <w:t xml:space="preserve">July 27, 2016,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B6D1A">
        <w:rPr>
          <w:rFonts w:ascii="Times New Roman" w:hAnsi="Times New Roman" w:cs="Times New Roman"/>
          <w:sz w:val="28"/>
          <w:szCs w:val="28"/>
          <w:lang w:val="en-US"/>
        </w:rPr>
        <w:t xml:space="preserve"> 567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C26E2" w:rsidRPr="00AC26E2">
        <w:rPr>
          <w:rFonts w:ascii="Times New Roman" w:hAnsi="Times New Roman" w:cs="Times New Roman"/>
          <w:sz w:val="28"/>
          <w:szCs w:val="28"/>
          <w:lang w:val="en-US"/>
        </w:rPr>
        <w:t>March 6, 2019</w:t>
      </w:r>
      <w:r w:rsidR="00FE3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B6D1A" w:rsidRPr="006B6D1A">
        <w:rPr>
          <w:rFonts w:ascii="Times New Roman" w:hAnsi="Times New Roman" w:cs="Times New Roman"/>
          <w:sz w:val="28"/>
          <w:szCs w:val="28"/>
          <w:lang w:val="en-US"/>
        </w:rPr>
        <w:t xml:space="preserve"> 167</w:t>
      </w:r>
      <w:r w:rsidR="006B6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1. In paragraph 6 of the 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esolution of the Cabinet of Ministers of Ukraine </w:t>
      </w:r>
      <w:r w:rsidR="006B6D1A"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July 27, 2016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567 figures and the word “December 31, 2020”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be replaced by figures and the word “July 1, 2021”.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2. In the 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esolution of the Cabinet of Ministers of Ukraine 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March 6, 2019 </w:t>
      </w:r>
      <w:proofErr w:type="gramStart"/>
      <w:r w:rsidR="001C5435" w:rsidRPr="001C5435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="001C5435" w:rsidRPr="001C54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167: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paragraph 1 of the 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esolution, the figures and the word “December 31, 2020”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be replaced by figures and the word “June 30, 2021”;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the Procedure for conducting an experiment for awarding the </w:t>
      </w:r>
      <w:r w:rsidR="00FE38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egree of Doctor of Philosophy, approved by the specified </w:t>
      </w:r>
      <w:r w:rsidR="00FE38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esolution: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second and third paragraphs of paragraph 11 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  <w:r w:rsidR="00AC26E2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as follows: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“Not less than one article in periodical scientific publications of other 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, which are members of the Organization for Economic Cooperation and Development and / or 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the European Union, in the scientific field for which the applicant's </w:t>
      </w:r>
      <w:r w:rsidR="00C8153E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was prepared. Such publication may be equated with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publication 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C8153E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included in the list of scientific professional publications of Ukraine of category</w:t>
      </w:r>
      <w:r w:rsidR="00A43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AF5" w:rsidRPr="00A43AF5">
        <w:rPr>
          <w:rFonts w:ascii="Times New Roman" w:hAnsi="Times New Roman" w:cs="Times New Roman"/>
          <w:sz w:val="28"/>
          <w:szCs w:val="28"/>
          <w:lang w:val="en-US"/>
        </w:rPr>
        <w:t xml:space="preserve">"A"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or in foreign publications indexed in the databases Web of Science Core Collection and / or Scopus;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articles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in scientific publications included in the list of scientific professional publications of Ukraine of category "B" (instead of one article </w:t>
      </w:r>
      <w:r w:rsidR="00A43AF5" w:rsidRPr="00A43AF5">
        <w:rPr>
          <w:rFonts w:ascii="Times New Roman" w:hAnsi="Times New Roman" w:cs="Times New Roman"/>
          <w:sz w:val="28"/>
          <w:szCs w:val="28"/>
          <w:lang w:val="en-US"/>
        </w:rPr>
        <w:t xml:space="preserve">a monograph or a part of a monograph published in co-authorship 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may be credited). ";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paragraph 14: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1D80">
        <w:rPr>
          <w:rFonts w:ascii="Times New Roman" w:hAnsi="Times New Roman" w:cs="Times New Roman"/>
          <w:sz w:val="28"/>
          <w:szCs w:val="28"/>
          <w:lang w:val="en-US"/>
        </w:rPr>
        <w:t>replace</w:t>
      </w:r>
      <w:proofErr w:type="gramEnd"/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the first - fourth paragraphs with the following paragraphs:</w:t>
      </w:r>
    </w:p>
    <w:p w:rsidR="00881D80" w:rsidRPr="00881D80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“14.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is carried out, as a rule, in a higher education institution (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institution), where the applicant was trained.</w:t>
      </w:r>
    </w:p>
    <w:p w:rsidR="00BA6CE8" w:rsidRDefault="00881D80" w:rsidP="00881D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D8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conduct a preliminary examination, the applicant submits a written application to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hairman of the Academic Council of the institution of higher education (scientific institution) where the applicant was trained, to conduct a preliminary examination of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 xml:space="preserve"> and provide an opinion on the scientific novelty, theoretical and practical significance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881D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If the institution of higher education (scientific institution) where the applicant was trained cannot conduct a preliminary examination of the applicant's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, such institution (scientific institution) sends an application to another institution of higher education (scientific institution) with a request to consider the applicant's application for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. In this case, the applicant applies in writing to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hairman of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cademic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ouncil of the institution of higher education (scientific institution) to conduct a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and provide an opinion on the scientific novelty, theoretical and practical significance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>The applicant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s application is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given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to the structural unit (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a chair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, department, laboratory) of the institution of higher education (scientific institution) where the applicant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trained, or to the structural unit of another institution of higher education (scientific institution) designated for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The structural unit, where the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will be conducted, submits proposals to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cademic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ouncil of the institution of higher education (scientific institution) on the appointment of two reviewers, whose candidacies are proposed to the </w:t>
      </w:r>
      <w:r w:rsidR="00B90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ouncil.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To the structural unit, where the preliminary examination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will be conducted, the applicant submits a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, the conclusion of the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advisors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) and an academic certificate of implementation of the relevant educational and scientific program. A sample of such a certificate is approved by the Ministry of Education and Science. ”</w:t>
      </w:r>
    </w:p>
    <w:p w:rsidR="00C8153E" w:rsidRPr="00C8153E" w:rsidRDefault="001C5435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Thus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paragraphs five </w:t>
      </w:r>
      <w:r w:rsidR="00530804" w:rsidRPr="005308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eight 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e deemed to be paragraphs seven</w:t>
      </w:r>
      <w:r w:rsidR="005308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>ten, respectively;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53E">
        <w:rPr>
          <w:rFonts w:ascii="Times New Roman" w:hAnsi="Times New Roman" w:cs="Times New Roman"/>
          <w:sz w:val="28"/>
          <w:szCs w:val="28"/>
          <w:lang w:val="en-US"/>
        </w:rPr>
        <w:t>add</w:t>
      </w:r>
      <w:proofErr w:type="gram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a paragraph with the following content:</w:t>
      </w:r>
    </w:p>
    <w:p w:rsidR="00B76598" w:rsidRPr="00DF66C7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“The applicant for valid reasons (due to health, family circumstances) has the right to conduct a preliminary examination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, provide an opinion on the scientific novelty, theoretical and practical significance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results and defend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DF66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ouncil within six months </w:t>
      </w:r>
      <w:r w:rsidR="00B76598" w:rsidRPr="00B76598">
        <w:rPr>
          <w:rFonts w:ascii="Times New Roman" w:hAnsi="Times New Roman" w:cs="Times New Roman"/>
          <w:sz w:val="28"/>
          <w:szCs w:val="28"/>
          <w:lang w:val="en-US"/>
        </w:rPr>
        <w:t xml:space="preserve">after being expelled from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graduate school”</w:t>
      </w:r>
    </w:p>
    <w:p w:rsidR="00C8153E" w:rsidRPr="00C8153E" w:rsidRDefault="00B76598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paragraph </w:t>
      </w:r>
      <w:r>
        <w:rPr>
          <w:rFonts w:ascii="Times New Roman" w:hAnsi="Times New Roman" w:cs="Times New Roman"/>
          <w:sz w:val="28"/>
          <w:szCs w:val="28"/>
          <w:lang w:val="en-US"/>
        </w:rPr>
        <w:t>15 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read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as follows: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“15. The conclusion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scientific advisor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advisors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) or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structural unit (two copies) and the conclusion on the scientific novelty, theoretical and practical significance of the results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(two copies) are issued to the applicant. After that it is forbidden to 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amend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the text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If these conclusions are positive, the applicant submits an application to the </w:t>
      </w:r>
      <w:r w:rsidR="00DF66C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8153E">
        <w:rPr>
          <w:rFonts w:ascii="Times New Roman" w:hAnsi="Times New Roman" w:cs="Times New Roman"/>
          <w:sz w:val="28"/>
          <w:szCs w:val="28"/>
          <w:lang w:val="en-US"/>
        </w:rPr>
        <w:t>hairman</w:t>
      </w:r>
      <w:proofErr w:type="spell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of the Academic Council of the institution of higher education (scientific institution) to form a </w:t>
      </w:r>
      <w:r w:rsidR="00DF66C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8153E">
        <w:rPr>
          <w:rFonts w:ascii="Times New Roman" w:hAnsi="Times New Roman" w:cs="Times New Roman"/>
          <w:sz w:val="28"/>
          <w:szCs w:val="28"/>
          <w:lang w:val="en-US"/>
        </w:rPr>
        <w:t>ouncil</w:t>
      </w:r>
      <w:proofErr w:type="spell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to defend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r w:rsidR="00DF66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egree of Doctor of Philosophy and submits duly certified cop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ies of the academic certificate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on the implementation of the relevant educational and scientific program, the conclusion of the </w:t>
      </w:r>
      <w:r w:rsidR="00B76598">
        <w:rPr>
          <w:rFonts w:ascii="Times New Roman" w:hAnsi="Times New Roman" w:cs="Times New Roman"/>
          <w:sz w:val="28"/>
          <w:szCs w:val="28"/>
          <w:lang w:val="en-US"/>
        </w:rPr>
        <w:t>scientific advisor (advisors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) or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structural unit and the conclusion on the scientific novelty, theoretical and practical significance of the results of the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The structural subdivision, where the preliminary examination of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was conducted, submits proposals to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cademic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ouncil of the institution of higher education (scientific institution) for the formation of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ouncil in accordance with the requirements of paragraphs 6 and 7 of this Procedure. ";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53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first sentence of the first paragraph of item 21 after the words “at the meeting of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ouncil”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be supplemented with the words “(with the possibility of using video communication in real time)”;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53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seventh paragraph of item 22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 xml:space="preserve"> be read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as follows: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“A secret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voting should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be held for the award of the </w:t>
      </w:r>
      <w:r w:rsidR="000117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>egree of Doctor of Philosophy (if the meeti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 xml:space="preserve">ng of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 xml:space="preserve">ouncil is held using 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real-time video communication or in case of participation in the meeting of one of the opponents using video communication,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97554" w:rsidRPr="00197554">
        <w:rPr>
          <w:rFonts w:ascii="Times New Roman" w:hAnsi="Times New Roman" w:cs="Times New Roman"/>
          <w:sz w:val="28"/>
          <w:szCs w:val="28"/>
          <w:lang w:val="en-US"/>
        </w:rPr>
        <w:t xml:space="preserve">secret voting is conducted using software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(means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), which ensures anonymity and identification of participants in such voting. Software (means) for secret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voting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is used by the decision of the </w:t>
      </w:r>
      <w:r w:rsidR="009B2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 xml:space="preserve">ouncil); </w:t>
      </w:r>
    </w:p>
    <w:p w:rsidR="00C8153E" w:rsidRPr="00C8153E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53E">
        <w:rPr>
          <w:rFonts w:ascii="Times New Roman" w:hAnsi="Times New Roman" w:cs="Times New Roman"/>
          <w:sz w:val="28"/>
          <w:szCs w:val="28"/>
          <w:lang w:val="en-US"/>
        </w:rPr>
        <w:t>subparagraph</w:t>
      </w:r>
      <w:proofErr w:type="gramEnd"/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9 of paragraph 27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1C5435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197554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as follows:</w:t>
      </w:r>
    </w:p>
    <w:p w:rsidR="00C8153E" w:rsidRPr="00C8153E" w:rsidRDefault="001C5435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>copies</w:t>
      </w:r>
      <w:proofErr w:type="gramEnd"/>
      <w:r w:rsidR="00C8153E" w:rsidRPr="00C8153E">
        <w:rPr>
          <w:rFonts w:ascii="Times New Roman" w:hAnsi="Times New Roman" w:cs="Times New Roman"/>
          <w:sz w:val="28"/>
          <w:szCs w:val="28"/>
          <w:lang w:val="en-US"/>
        </w:rPr>
        <w:t xml:space="preserve"> of the document on the transfer of an electronic copy to the National Repository of Academic Texts or the State Scientific Institution" Ukrainian Institute of Scientific and Technical Expertise and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bookmarkStart w:id="0" w:name="_GoBack"/>
      <w:bookmarkEnd w:id="0"/>
    </w:p>
    <w:p w:rsidR="00C8153E" w:rsidRPr="00881D80" w:rsidRDefault="00C8153E" w:rsidP="00C81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53E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sectPr w:rsidR="00C8153E" w:rsidRPr="00881D80" w:rsidSect="00881D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0"/>
    <w:rsid w:val="0001170B"/>
    <w:rsid w:val="00197554"/>
    <w:rsid w:val="001C5435"/>
    <w:rsid w:val="00530804"/>
    <w:rsid w:val="006B6D1A"/>
    <w:rsid w:val="00881D80"/>
    <w:rsid w:val="0092226A"/>
    <w:rsid w:val="009B25DE"/>
    <w:rsid w:val="00A43AF5"/>
    <w:rsid w:val="00AA3FEE"/>
    <w:rsid w:val="00AC26E2"/>
    <w:rsid w:val="00B07427"/>
    <w:rsid w:val="00B76598"/>
    <w:rsid w:val="00B90362"/>
    <w:rsid w:val="00BA6CE8"/>
    <w:rsid w:val="00C8153E"/>
    <w:rsid w:val="00C91736"/>
    <w:rsid w:val="00DF66C7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14</cp:revision>
  <dcterms:created xsi:type="dcterms:W3CDTF">2021-11-11T18:56:00Z</dcterms:created>
  <dcterms:modified xsi:type="dcterms:W3CDTF">2021-11-12T09:02:00Z</dcterms:modified>
</cp:coreProperties>
</file>